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26"/>
        <w:tblW w:w="12060" w:type="dxa"/>
        <w:tblInd w:w="0" w:type="dxa"/>
        <w:tblLook w:val="00A0" w:firstRow="1" w:lastRow="0" w:firstColumn="1" w:lastColumn="0" w:noHBand="0" w:noVBand="0"/>
      </w:tblPr>
      <w:tblGrid>
        <w:gridCol w:w="1278"/>
        <w:gridCol w:w="3582"/>
        <w:gridCol w:w="3600"/>
        <w:gridCol w:w="3600"/>
      </w:tblGrid>
      <w:tr w:rsidR="00AA7067" w:rsidTr="00AA7067">
        <w:tc>
          <w:tcPr>
            <w:tcW w:w="1278" w:type="dxa"/>
            <w:tcBorders>
              <w:top w:val="single" w:sz="4" w:space="0" w:color="000000" w:themeColor="text1"/>
              <w:left w:val="single" w:sz="4" w:space="0" w:color="000000" w:themeColor="text1"/>
              <w:bottom w:val="single" w:sz="4" w:space="0" w:color="000000" w:themeColor="text1"/>
              <w:right w:val="single" w:sz="4" w:space="0" w:color="1F497D" w:themeColor="text2"/>
            </w:tcBorders>
            <w:hideMark/>
          </w:tcPr>
          <w:p w:rsidR="00AA7067" w:rsidRDefault="00AA7067">
            <w:pPr>
              <w:rPr>
                <w:sz w:val="20"/>
              </w:rPr>
            </w:pPr>
            <w:r>
              <w:rPr>
                <w:sz w:val="20"/>
              </w:rPr>
              <w:t>Date</w:t>
            </w:r>
          </w:p>
        </w:tc>
        <w:tc>
          <w:tcPr>
            <w:tcW w:w="3582"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AA7067" w:rsidRDefault="00AA7067">
            <w:pPr>
              <w:rPr>
                <w:sz w:val="20"/>
              </w:rPr>
            </w:pPr>
            <w:r>
              <w:rPr>
                <w:sz w:val="20"/>
              </w:rPr>
              <w:t>Topic</w:t>
            </w:r>
          </w:p>
        </w:tc>
        <w:tc>
          <w:tcPr>
            <w:tcW w:w="3600" w:type="dxa"/>
            <w:tcBorders>
              <w:top w:val="single" w:sz="4" w:space="0" w:color="000000" w:themeColor="text1"/>
              <w:left w:val="single" w:sz="4" w:space="0" w:color="1F497D" w:themeColor="text2"/>
              <w:bottom w:val="single" w:sz="4" w:space="0" w:color="000000" w:themeColor="text1"/>
              <w:right w:val="single" w:sz="4" w:space="0" w:color="000000" w:themeColor="text1"/>
            </w:tcBorders>
            <w:hideMark/>
          </w:tcPr>
          <w:p w:rsidR="00AA7067" w:rsidRDefault="00AA7067">
            <w:pPr>
              <w:rPr>
                <w:sz w:val="20"/>
              </w:rPr>
            </w:pPr>
            <w:r>
              <w:rPr>
                <w:sz w:val="20"/>
              </w:rPr>
              <w:t>Activities/Assignments</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067" w:rsidRDefault="00AA7067">
            <w:pPr>
              <w:rPr>
                <w:sz w:val="20"/>
              </w:rPr>
            </w:pPr>
            <w:r>
              <w:rPr>
                <w:sz w:val="20"/>
              </w:rPr>
              <w:t>Notes</w:t>
            </w:r>
          </w:p>
        </w:tc>
      </w:tr>
      <w:tr w:rsidR="00AA7067" w:rsidTr="00AA7067">
        <w:trPr>
          <w:trHeight w:val="2930"/>
        </w:trPr>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067" w:rsidRDefault="00AA7067">
            <w:pPr>
              <w:rPr>
                <w:sz w:val="20"/>
              </w:rPr>
            </w:pPr>
            <w:r>
              <w:rPr>
                <w:sz w:val="20"/>
              </w:rPr>
              <w:t>Day 1</w:t>
            </w:r>
          </w:p>
        </w:tc>
        <w:tc>
          <w:tcPr>
            <w:tcW w:w="3582" w:type="dxa"/>
            <w:tcBorders>
              <w:top w:val="single" w:sz="4" w:space="0" w:color="1F497D" w:themeColor="text2"/>
              <w:left w:val="single" w:sz="4" w:space="0" w:color="000000" w:themeColor="text1"/>
              <w:bottom w:val="single" w:sz="4" w:space="0" w:color="000000" w:themeColor="text1"/>
              <w:right w:val="single" w:sz="4" w:space="0" w:color="000000" w:themeColor="text1"/>
            </w:tcBorders>
          </w:tcPr>
          <w:p w:rsidR="00AA7067" w:rsidRDefault="00AA7067">
            <w:pPr>
              <w:rPr>
                <w:sz w:val="20"/>
              </w:rPr>
            </w:pPr>
            <w:r>
              <w:rPr>
                <w:sz w:val="20"/>
              </w:rPr>
              <w:t>Intro to Class</w:t>
            </w:r>
          </w:p>
          <w:p w:rsidR="00AA7067" w:rsidRDefault="00AA7067">
            <w:pPr>
              <w:rPr>
                <w:sz w:val="20"/>
              </w:rPr>
            </w:pPr>
          </w:p>
          <w:p w:rsidR="00AA7067" w:rsidRDefault="00AA7067">
            <w:pPr>
              <w:rPr>
                <w:sz w:val="20"/>
              </w:rPr>
            </w:pPr>
            <w:r>
              <w:rPr>
                <w:sz w:val="20"/>
              </w:rPr>
              <w:t>Course Expectations</w:t>
            </w:r>
          </w:p>
          <w:p w:rsidR="00AA7067" w:rsidRDefault="00AA7067">
            <w:pPr>
              <w:rPr>
                <w:sz w:val="20"/>
              </w:rPr>
            </w:pPr>
          </w:p>
          <w:p w:rsidR="00AA7067" w:rsidRDefault="00AA7067">
            <w:pPr>
              <w:rPr>
                <w:sz w:val="20"/>
              </w:rPr>
            </w:pPr>
            <w:r>
              <w:rPr>
                <w:sz w:val="20"/>
              </w:rPr>
              <w:t>High School vs. College</w:t>
            </w:r>
          </w:p>
          <w:p w:rsidR="00AA7067" w:rsidRDefault="00AA7067">
            <w:pPr>
              <w:rPr>
                <w:sz w:val="20"/>
              </w:rPr>
            </w:pPr>
          </w:p>
          <w:p w:rsidR="00AA7067" w:rsidRDefault="00AA7067">
            <w:pPr>
              <w:rPr>
                <w:sz w:val="20"/>
              </w:rPr>
            </w:pPr>
            <w:r>
              <w:rPr>
                <w:sz w:val="20"/>
              </w:rPr>
              <w:t>Examine Your Sacred Cows</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067" w:rsidRDefault="00AA7067">
            <w:pPr>
              <w:rPr>
                <w:sz w:val="20"/>
              </w:rPr>
            </w:pPr>
            <w:r>
              <w:rPr>
                <w:b/>
                <w:sz w:val="20"/>
              </w:rPr>
              <w:t xml:space="preserve">In-Class: </w:t>
            </w:r>
            <w:r>
              <w:rPr>
                <w:sz w:val="20"/>
              </w:rPr>
              <w:t>Introduction to class and course expectations, disclosure, journal, textbook, website.</w:t>
            </w:r>
          </w:p>
          <w:p w:rsidR="00AA7067" w:rsidRDefault="00AA7067">
            <w:pPr>
              <w:rPr>
                <w:sz w:val="20"/>
              </w:rPr>
            </w:pPr>
          </w:p>
          <w:p w:rsidR="00AA7067" w:rsidRDefault="00AA7067">
            <w:pPr>
              <w:rPr>
                <w:sz w:val="20"/>
              </w:rPr>
            </w:pPr>
          </w:p>
          <w:p w:rsidR="00AA7067" w:rsidRDefault="00AA7067">
            <w:pPr>
              <w:rPr>
                <w:sz w:val="20"/>
              </w:rPr>
            </w:pPr>
          </w:p>
          <w:p w:rsidR="00AA7067" w:rsidRDefault="00AA7067">
            <w:pPr>
              <w:rPr>
                <w:sz w:val="20"/>
              </w:rPr>
            </w:pPr>
            <w:r>
              <w:rPr>
                <w:sz w:val="20"/>
              </w:rPr>
              <w:t xml:space="preserve">Don’t Believe Everything You </w:t>
            </w:r>
          </w:p>
          <w:p w:rsidR="00AA7067" w:rsidRDefault="00AA7067">
            <w:pPr>
              <w:rPr>
                <w:sz w:val="20"/>
              </w:rPr>
            </w:pPr>
            <w:r>
              <w:rPr>
                <w:sz w:val="20"/>
              </w:rPr>
              <w:t>Think/Plato &amp; the Cave</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067" w:rsidRDefault="00AA7067">
            <w:pPr>
              <w:rPr>
                <w:sz w:val="20"/>
              </w:rPr>
            </w:pPr>
            <w:r>
              <w:rPr>
                <w:b/>
              </w:rPr>
              <w:t xml:space="preserve">Get </w:t>
            </w:r>
            <w:proofErr w:type="gramStart"/>
            <w:r>
              <w:rPr>
                <w:b/>
              </w:rPr>
              <w:t>textbook</w:t>
            </w:r>
            <w:proofErr w:type="gramEnd"/>
            <w:r>
              <w:rPr>
                <w:b/>
              </w:rPr>
              <w:t xml:space="preserve"> immediately</w:t>
            </w:r>
            <w:r>
              <w:rPr>
                <w:sz w:val="20"/>
              </w:rPr>
              <w:t xml:space="preserve">. </w:t>
            </w:r>
          </w:p>
          <w:p w:rsidR="00AA7067" w:rsidRDefault="00AA7067">
            <w:pPr>
              <w:rPr>
                <w:sz w:val="20"/>
              </w:rPr>
            </w:pPr>
          </w:p>
          <w:p w:rsidR="00AA7067" w:rsidRDefault="00AA7067">
            <w:pPr>
              <w:rPr>
                <w:sz w:val="20"/>
              </w:rPr>
            </w:pPr>
            <w:r>
              <w:rPr>
                <w:sz w:val="20"/>
              </w:rPr>
              <w:t>Read the disclosure completely. Print off just the bottom portion of the disclosure, and bring it, signed, to class next time.</w:t>
            </w:r>
          </w:p>
          <w:p w:rsidR="00AA7067" w:rsidRDefault="00AA7067">
            <w:pPr>
              <w:rPr>
                <w:sz w:val="20"/>
              </w:rPr>
            </w:pPr>
          </w:p>
          <w:p w:rsidR="00AA7067" w:rsidRDefault="00AA7067">
            <w:pPr>
              <w:rPr>
                <w:sz w:val="20"/>
              </w:rPr>
            </w:pPr>
            <w:r>
              <w:rPr>
                <w:sz w:val="20"/>
              </w:rPr>
              <w:t xml:space="preserve">Register for class and create a </w:t>
            </w:r>
            <w:proofErr w:type="spellStart"/>
            <w:r>
              <w:rPr>
                <w:sz w:val="20"/>
              </w:rPr>
              <w:t>MyPage</w:t>
            </w:r>
            <w:proofErr w:type="spellEnd"/>
            <w:r>
              <w:rPr>
                <w:sz w:val="20"/>
              </w:rPr>
              <w:t xml:space="preserve"> Account. Make sure you can log into Canvas.</w:t>
            </w:r>
          </w:p>
        </w:tc>
      </w:tr>
      <w:tr w:rsidR="00AA7067" w:rsidTr="00AA7067">
        <w:trPr>
          <w:trHeight w:val="2930"/>
        </w:trPr>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067" w:rsidRDefault="00AA7067">
            <w:pPr>
              <w:rPr>
                <w:sz w:val="20"/>
              </w:rPr>
            </w:pPr>
            <w:r>
              <w:rPr>
                <w:sz w:val="20"/>
              </w:rPr>
              <w:t>Day 2</w:t>
            </w:r>
          </w:p>
        </w:tc>
        <w:tc>
          <w:tcPr>
            <w:tcW w:w="3582" w:type="dxa"/>
            <w:tcBorders>
              <w:top w:val="single" w:sz="4" w:space="0" w:color="1F497D" w:themeColor="text2"/>
              <w:left w:val="single" w:sz="4" w:space="0" w:color="000000" w:themeColor="text1"/>
              <w:bottom w:val="single" w:sz="4" w:space="0" w:color="000000" w:themeColor="text1"/>
              <w:right w:val="single" w:sz="4" w:space="0" w:color="000000" w:themeColor="text1"/>
            </w:tcBorders>
          </w:tcPr>
          <w:p w:rsidR="00AA7067" w:rsidRDefault="00AA7067">
            <w:pPr>
              <w:rPr>
                <w:sz w:val="20"/>
              </w:rPr>
            </w:pPr>
            <w:r>
              <w:rPr>
                <w:sz w:val="20"/>
              </w:rPr>
              <w:t>Perspectives, Stereotypes, and Prejudices</w:t>
            </w:r>
          </w:p>
          <w:p w:rsidR="00AA7067" w:rsidRDefault="00AA7067">
            <w:pPr>
              <w:rPr>
                <w:sz w:val="20"/>
              </w:rPr>
            </w:pPr>
          </w:p>
          <w:p w:rsidR="00AA7067" w:rsidRDefault="00AA7067">
            <w:pPr>
              <w:rPr>
                <w:sz w:val="20"/>
              </w:rPr>
            </w:pPr>
            <w:r>
              <w:rPr>
                <w:sz w:val="20"/>
              </w:rPr>
              <w:t>Goal of the Class: Asking Questions</w:t>
            </w:r>
          </w:p>
          <w:p w:rsidR="00AA7067" w:rsidRDefault="00AA7067">
            <w:pPr>
              <w:rPr>
                <w:sz w:val="20"/>
              </w:rPr>
            </w:pPr>
          </w:p>
          <w:p w:rsidR="00AA7067" w:rsidRDefault="00AA7067">
            <w:pPr>
              <w:rPr>
                <w:sz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067" w:rsidRDefault="00AA7067">
            <w:pPr>
              <w:rPr>
                <w:sz w:val="20"/>
              </w:rPr>
            </w:pPr>
            <w:r>
              <w:rPr>
                <w:b/>
                <w:sz w:val="20"/>
              </w:rPr>
              <w:t>Read:</w:t>
            </w:r>
            <w:r>
              <w:rPr>
                <w:sz w:val="20"/>
              </w:rPr>
              <w:t xml:space="preserve"> Watch “This is Water” video on the website, at the bottom.</w:t>
            </w:r>
          </w:p>
          <w:p w:rsidR="00C767D6" w:rsidRDefault="00C767D6">
            <w:pPr>
              <w:rPr>
                <w:sz w:val="20"/>
              </w:rPr>
            </w:pPr>
            <w:r>
              <w:rPr>
                <w:sz w:val="20"/>
              </w:rPr>
              <w:t>“Consider the Lobster” culinary article</w:t>
            </w:r>
            <w:bookmarkStart w:id="0" w:name="_GoBack"/>
            <w:bookmarkEnd w:id="0"/>
          </w:p>
          <w:p w:rsidR="00AA7067" w:rsidRDefault="00725DD0">
            <w:pPr>
              <w:rPr>
                <w:sz w:val="20"/>
              </w:rPr>
            </w:pPr>
            <w:r>
              <w:rPr>
                <w:sz w:val="20"/>
              </w:rPr>
              <w:t>Text Introduction (xvii)</w:t>
            </w:r>
          </w:p>
          <w:p w:rsidR="00AA7067" w:rsidRDefault="00AA7067">
            <w:pPr>
              <w:rPr>
                <w:sz w:val="20"/>
              </w:rPr>
            </w:pPr>
          </w:p>
          <w:p w:rsidR="00AA7067" w:rsidRDefault="00AA7067">
            <w:pPr>
              <w:rPr>
                <w:b/>
                <w:sz w:val="20"/>
              </w:rPr>
            </w:pPr>
          </w:p>
          <w:p w:rsidR="00AA7067" w:rsidRDefault="00AA7067">
            <w:pPr>
              <w:rPr>
                <w:sz w:val="20"/>
              </w:rPr>
            </w:pPr>
            <w:r>
              <w:rPr>
                <w:b/>
                <w:sz w:val="20"/>
              </w:rPr>
              <w:t xml:space="preserve">Check Your Understanding: </w:t>
            </w:r>
            <w:r>
              <w:rPr>
                <w:sz w:val="20"/>
              </w:rPr>
              <w:t xml:space="preserve">What does David Foster Wallace mean by our “Default Setting.” What examples does he give to explain this? The anecdote about the fish not knowing they live in water is a metaphor for us, and the things we don’t question and just accept as </w:t>
            </w:r>
            <w:proofErr w:type="spellStart"/>
            <w:r>
              <w:rPr>
                <w:sz w:val="20"/>
              </w:rPr>
              <w:t>fact</w:t>
            </w:r>
            <w:proofErr w:type="spellEnd"/>
            <w:r>
              <w:rPr>
                <w:sz w:val="20"/>
              </w:rPr>
              <w:t xml:space="preserve"> as we go through life. Examine your own life. What are the “truths” that you just accept, without having explored? Make it a goal this semester to examine your life and what truths are. As Aristotle said: “The unexamined life is not worth living.”</w:t>
            </w:r>
          </w:p>
          <w:p w:rsidR="00AA7067" w:rsidRDefault="00AA7067">
            <w:pPr>
              <w:rPr>
                <w:sz w:val="20"/>
              </w:rPr>
            </w:pPr>
          </w:p>
          <w:p w:rsidR="00AA7067" w:rsidRDefault="00AA7067" w:rsidP="00AA7067">
            <w:pPr>
              <w:rPr>
                <w:sz w:val="20"/>
              </w:rPr>
            </w:pPr>
            <w:r>
              <w:rPr>
                <w:b/>
                <w:sz w:val="20"/>
              </w:rPr>
              <w:t xml:space="preserve">In-Class: </w:t>
            </w:r>
          </w:p>
          <w:p w:rsidR="00AA7067" w:rsidRDefault="00AA7067">
            <w:pPr>
              <w:rPr>
                <w:sz w:val="20"/>
              </w:rPr>
            </w:pPr>
            <w:r>
              <w:rPr>
                <w:sz w:val="20"/>
              </w:rPr>
              <w:t>“This is Water</w:t>
            </w:r>
            <w:r w:rsidR="00725DD0">
              <w:rPr>
                <w:sz w:val="20"/>
              </w:rPr>
              <w:t>”</w:t>
            </w:r>
            <w:r>
              <w:rPr>
                <w:sz w:val="20"/>
              </w:rPr>
              <w:t xml:space="preserve"> Discussion</w:t>
            </w:r>
          </w:p>
          <w:p w:rsidR="00AA7067" w:rsidRDefault="00AA7067">
            <w:pPr>
              <w:rPr>
                <w:sz w:val="20"/>
              </w:rPr>
            </w:pPr>
            <w:r>
              <w:rPr>
                <w:sz w:val="20"/>
              </w:rPr>
              <w:t>“Why the Humanities” PPT</w:t>
            </w:r>
          </w:p>
          <w:p w:rsidR="00AA7067" w:rsidRDefault="00AA7067">
            <w:pPr>
              <w:rPr>
                <w:sz w:val="20"/>
              </w:rPr>
            </w:pPr>
            <w:r>
              <w:rPr>
                <w:sz w:val="20"/>
              </w:rPr>
              <w:t>Judging Art Lesson (Classical Art vs. Pop Art)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067" w:rsidRDefault="00AA7067">
            <w:r>
              <w:t>Register for the course – CRN # on the website</w:t>
            </w:r>
          </w:p>
          <w:p w:rsidR="00AA7067" w:rsidRDefault="00AA7067"/>
          <w:p w:rsidR="00AA7067" w:rsidRDefault="00AA7067">
            <w:pPr>
              <w:rPr>
                <w:sz w:val="20"/>
              </w:rPr>
            </w:pPr>
            <w:r>
              <w:rPr>
                <w:sz w:val="20"/>
              </w:rPr>
              <w:t>Bring in Disclosure signature and your C.E. Participation Form.</w:t>
            </w:r>
          </w:p>
          <w:p w:rsidR="00AA7067" w:rsidRDefault="00AA7067"/>
          <w:p w:rsidR="00AA7067" w:rsidRDefault="00AA7067"/>
          <w:p w:rsidR="00AA7067" w:rsidRDefault="00AA7067"/>
        </w:tc>
      </w:tr>
      <w:tr w:rsidR="00AA7067" w:rsidTr="00AA7067">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067" w:rsidRDefault="00AA7067">
            <w:pPr>
              <w:rPr>
                <w:sz w:val="20"/>
              </w:rPr>
            </w:pPr>
            <w:r>
              <w:rPr>
                <w:sz w:val="20"/>
              </w:rPr>
              <w:t>Day 3</w:t>
            </w:r>
          </w:p>
        </w:tc>
        <w:tc>
          <w:tcPr>
            <w:tcW w:w="3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067" w:rsidRDefault="00AA7067">
            <w:pPr>
              <w:rPr>
                <w:sz w:val="20"/>
              </w:rPr>
            </w:pPr>
            <w:r>
              <w:rPr>
                <w:sz w:val="20"/>
              </w:rPr>
              <w:t>What is “Truth”? How can we begin to create rules for ways of thinking about truth?</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067" w:rsidRDefault="00AA7067">
            <w:pPr>
              <w:rPr>
                <w:b/>
                <w:sz w:val="20"/>
              </w:rPr>
            </w:pPr>
            <w:r>
              <w:rPr>
                <w:b/>
                <w:sz w:val="20"/>
              </w:rPr>
              <w:t>Read:</w:t>
            </w:r>
          </w:p>
          <w:p w:rsidR="00AA7067" w:rsidRDefault="00AA7067">
            <w:pPr>
              <w:rPr>
                <w:sz w:val="20"/>
              </w:rPr>
            </w:pPr>
            <w:r>
              <w:rPr>
                <w:b/>
                <w:sz w:val="20"/>
              </w:rPr>
              <w:t>“</w:t>
            </w:r>
            <w:r>
              <w:rPr>
                <w:sz w:val="20"/>
              </w:rPr>
              <w:t>The Danger of a Single Story”</w:t>
            </w:r>
          </w:p>
          <w:p w:rsidR="00AA7067" w:rsidRDefault="00AA7067">
            <w:pPr>
              <w:rPr>
                <w:sz w:val="20"/>
              </w:rPr>
            </w:pPr>
            <w:r>
              <w:rPr>
                <w:sz w:val="20"/>
              </w:rPr>
              <w:t>How to Read in this Course (4)</w:t>
            </w:r>
          </w:p>
          <w:p w:rsidR="00AA7067" w:rsidRDefault="00AA7067">
            <w:pPr>
              <w:rPr>
                <w:sz w:val="20"/>
              </w:rPr>
            </w:pPr>
          </w:p>
          <w:p w:rsidR="00AA7067" w:rsidRDefault="00AA7067">
            <w:pPr>
              <w:rPr>
                <w:sz w:val="20"/>
              </w:rPr>
            </w:pPr>
            <w:r>
              <w:rPr>
                <w:b/>
                <w:sz w:val="20"/>
              </w:rPr>
              <w:t>Check Your Understanding:</w:t>
            </w:r>
            <w:r>
              <w:rPr>
                <w:sz w:val="20"/>
              </w:rPr>
              <w:t xml:space="preserve"> What single stories has </w:t>
            </w:r>
            <w:proofErr w:type="spellStart"/>
            <w:r>
              <w:rPr>
                <w:sz w:val="20"/>
              </w:rPr>
              <w:t>Chimamanda</w:t>
            </w:r>
            <w:proofErr w:type="spellEnd"/>
            <w:r>
              <w:rPr>
                <w:sz w:val="20"/>
              </w:rPr>
              <w:t xml:space="preserve"> </w:t>
            </w:r>
            <w:proofErr w:type="spellStart"/>
            <w:r>
              <w:rPr>
                <w:sz w:val="20"/>
              </w:rPr>
              <w:t>Adichie</w:t>
            </w:r>
            <w:proofErr w:type="spellEnd"/>
            <w:r>
              <w:rPr>
                <w:sz w:val="20"/>
              </w:rPr>
              <w:t xml:space="preserve"> been given? Trace where you think those came from. She has also admitted giving other people a single story. How about you?</w:t>
            </w:r>
          </w:p>
          <w:p w:rsidR="00AA7067" w:rsidRDefault="00AA7067">
            <w:pPr>
              <w:rPr>
                <w:sz w:val="20"/>
              </w:rPr>
            </w:pPr>
          </w:p>
          <w:p w:rsidR="00725DD0" w:rsidRDefault="00AA7067">
            <w:pPr>
              <w:rPr>
                <w:sz w:val="20"/>
              </w:rPr>
            </w:pPr>
            <w:r>
              <w:rPr>
                <w:b/>
                <w:sz w:val="20"/>
              </w:rPr>
              <w:t>In-Class:</w:t>
            </w:r>
            <w:r>
              <w:rPr>
                <w:sz w:val="20"/>
              </w:rPr>
              <w:t xml:space="preserve"> </w:t>
            </w:r>
          </w:p>
          <w:p w:rsidR="001601D2" w:rsidRDefault="001601D2">
            <w:pPr>
              <w:rPr>
                <w:sz w:val="20"/>
              </w:rPr>
            </w:pPr>
            <w:r>
              <w:rPr>
                <w:sz w:val="20"/>
              </w:rPr>
              <w:t>“Piss Christ”</w:t>
            </w:r>
          </w:p>
          <w:p w:rsidR="00AA7067" w:rsidRDefault="00725DD0">
            <w:pPr>
              <w:rPr>
                <w:sz w:val="20"/>
              </w:rPr>
            </w:pPr>
            <w:r>
              <w:rPr>
                <w:sz w:val="20"/>
              </w:rPr>
              <w:t xml:space="preserve"> </w:t>
            </w:r>
            <w:r w:rsidR="00AA7067">
              <w:rPr>
                <w:sz w:val="20"/>
              </w:rPr>
              <w:t>“The Danger of a Single Story”</w:t>
            </w:r>
          </w:p>
          <w:p w:rsidR="001601D2" w:rsidRDefault="001601D2">
            <w:pPr>
              <w:rPr>
                <w:sz w:val="20"/>
              </w:rPr>
            </w:pPr>
            <w:r>
              <w:rPr>
                <w:sz w:val="20"/>
              </w:rPr>
              <w:lastRenderedPageBreak/>
              <w:t xml:space="preserve">“The Two </w:t>
            </w:r>
            <w:proofErr w:type="spellStart"/>
            <w:r>
              <w:rPr>
                <w:sz w:val="20"/>
              </w:rPr>
              <w:t>Davids</w:t>
            </w:r>
            <w:proofErr w:type="spellEnd"/>
            <w:r>
              <w:rPr>
                <w:sz w:val="20"/>
              </w:rPr>
              <w:t>”</w:t>
            </w:r>
          </w:p>
          <w:p w:rsidR="00AA7067" w:rsidRDefault="00725DD0" w:rsidP="001601D2">
            <w:pPr>
              <w:rPr>
                <w:sz w:val="20"/>
              </w:rPr>
            </w:pPr>
            <w:r>
              <w:rPr>
                <w:sz w:val="20"/>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067" w:rsidRDefault="00AA7067">
            <w:pPr>
              <w:rPr>
                <w:sz w:val="20"/>
              </w:rPr>
            </w:pPr>
            <w:r>
              <w:rPr>
                <w:sz w:val="20"/>
              </w:rPr>
              <w:lastRenderedPageBreak/>
              <w:t>Make sure you have registered through the college and registered for my class. CRN #s are found on my website, at the top of the page.</w:t>
            </w:r>
          </w:p>
          <w:p w:rsidR="00AA7067" w:rsidRDefault="00AA7067">
            <w:pPr>
              <w:rPr>
                <w:sz w:val="20"/>
              </w:rPr>
            </w:pPr>
          </w:p>
          <w:p w:rsidR="00AA7067" w:rsidRDefault="00AA7067">
            <w:pPr>
              <w:rPr>
                <w:sz w:val="20"/>
              </w:rPr>
            </w:pPr>
            <w:r>
              <w:rPr>
                <w:sz w:val="20"/>
              </w:rPr>
              <w:t>$15 tuition paid to SLCC</w:t>
            </w:r>
          </w:p>
          <w:p w:rsidR="00AA7067" w:rsidRDefault="00AA7067">
            <w:pPr>
              <w:rPr>
                <w:sz w:val="20"/>
              </w:rPr>
            </w:pPr>
          </w:p>
          <w:p w:rsidR="00AA7067" w:rsidRDefault="00AA7067">
            <w:pPr>
              <w:rPr>
                <w:sz w:val="20"/>
              </w:rPr>
            </w:pPr>
          </w:p>
        </w:tc>
      </w:tr>
      <w:tr w:rsidR="00AA7067" w:rsidTr="00AA7067">
        <w:trPr>
          <w:trHeight w:val="278"/>
        </w:trPr>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067" w:rsidRDefault="00AA7067">
            <w:pPr>
              <w:rPr>
                <w:sz w:val="20"/>
              </w:rPr>
            </w:pPr>
            <w:r>
              <w:rPr>
                <w:sz w:val="20"/>
              </w:rPr>
              <w:lastRenderedPageBreak/>
              <w:t>Day 4</w:t>
            </w:r>
          </w:p>
        </w:tc>
        <w:tc>
          <w:tcPr>
            <w:tcW w:w="3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067" w:rsidRDefault="00AA7067">
            <w:pPr>
              <w:rPr>
                <w:sz w:val="20"/>
              </w:rPr>
            </w:pPr>
            <w:r>
              <w:rPr>
                <w:sz w:val="20"/>
              </w:rPr>
              <w:t>How do culture and context impact the way we view and interpret art?</w:t>
            </w:r>
          </w:p>
          <w:p w:rsidR="00AA7067" w:rsidRDefault="00AA7067">
            <w:pPr>
              <w:rPr>
                <w:sz w:val="20"/>
              </w:rPr>
            </w:pPr>
          </w:p>
          <w:p w:rsidR="00AA7067" w:rsidRDefault="00AA7067">
            <w:pPr>
              <w:rPr>
                <w:sz w:val="20"/>
              </w:rPr>
            </w:pPr>
            <w:r>
              <w:rPr>
                <w:sz w:val="20"/>
              </w:rPr>
              <w:t xml:space="preserve">Introduction to the next unit: </w:t>
            </w:r>
            <w:r>
              <w:rPr>
                <w:sz w:val="20"/>
                <w:szCs w:val="20"/>
              </w:rPr>
              <w:t xml:space="preserve"> How do we define our national identity? How about by our gender and sex? How do society and religion and the media (magazines, movies, etc.) influence our perceptions of ourselves – specifically as a sex and a gender?</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067" w:rsidRDefault="00AA7067">
            <w:pPr>
              <w:rPr>
                <w:b/>
                <w:sz w:val="20"/>
              </w:rPr>
            </w:pPr>
            <w:r>
              <w:rPr>
                <w:b/>
                <w:sz w:val="20"/>
              </w:rPr>
              <w:t>Read:</w:t>
            </w:r>
          </w:p>
          <w:p w:rsidR="00AA7067" w:rsidRDefault="00AA7067">
            <w:pPr>
              <w:rPr>
                <w:sz w:val="20"/>
              </w:rPr>
            </w:pPr>
            <w:r>
              <w:rPr>
                <w:sz w:val="20"/>
              </w:rPr>
              <w:t>A Method for Reading, Writing, and Thinking Critically (16)</w:t>
            </w:r>
          </w:p>
          <w:p w:rsidR="00AA7067" w:rsidRDefault="00AA7067">
            <w:pPr>
              <w:rPr>
                <w:sz w:val="20"/>
              </w:rPr>
            </w:pPr>
            <w:r>
              <w:rPr>
                <w:sz w:val="20"/>
              </w:rPr>
              <w:t>Culturally Variable Ways of Seeing (19)</w:t>
            </w:r>
          </w:p>
          <w:p w:rsidR="00AA7067" w:rsidRDefault="00AA7067">
            <w:pPr>
              <w:rPr>
                <w:sz w:val="20"/>
              </w:rPr>
            </w:pPr>
            <w:r>
              <w:rPr>
                <w:sz w:val="20"/>
              </w:rPr>
              <w:t>Don’t Believe Everything You Think (website)</w:t>
            </w:r>
          </w:p>
          <w:p w:rsidR="00AA7067" w:rsidRDefault="00AA7067">
            <w:pPr>
              <w:rPr>
                <w:sz w:val="20"/>
              </w:rPr>
            </w:pPr>
          </w:p>
          <w:p w:rsidR="00AA7067" w:rsidRPr="00725DD0" w:rsidRDefault="00AA7067">
            <w:pPr>
              <w:rPr>
                <w:b/>
                <w:sz w:val="20"/>
              </w:rPr>
            </w:pPr>
            <w:r>
              <w:rPr>
                <w:b/>
                <w:sz w:val="20"/>
              </w:rPr>
              <w:t xml:space="preserve">In-Class: </w:t>
            </w:r>
          </w:p>
          <w:p w:rsidR="00AA7067" w:rsidRDefault="001601D2">
            <w:pPr>
              <w:rPr>
                <w:sz w:val="20"/>
              </w:rPr>
            </w:pPr>
            <w:r>
              <w:rPr>
                <w:sz w:val="20"/>
              </w:rPr>
              <w:t xml:space="preserve">Frank Romero “Arrest of the </w:t>
            </w:r>
            <w:proofErr w:type="spellStart"/>
            <w:r>
              <w:rPr>
                <w:sz w:val="20"/>
              </w:rPr>
              <w:t>Paleteros</w:t>
            </w:r>
            <w:proofErr w:type="spellEnd"/>
            <w:r>
              <w:rPr>
                <w:sz w:val="20"/>
              </w:rPr>
              <w:t>”</w:t>
            </w:r>
          </w:p>
          <w:p w:rsidR="00725DD0" w:rsidRDefault="001C58B0">
            <w:pPr>
              <w:rPr>
                <w:sz w:val="20"/>
              </w:rPr>
            </w:pPr>
            <w:r>
              <w:rPr>
                <w:sz w:val="20"/>
              </w:rPr>
              <w:t>Marley Dias Book Drive</w:t>
            </w:r>
          </w:p>
          <w:p w:rsidR="00AA7067" w:rsidRDefault="00AA7067">
            <w:pPr>
              <w:rPr>
                <w:sz w:val="20"/>
              </w:rPr>
            </w:pPr>
          </w:p>
          <w:p w:rsidR="00AA7067" w:rsidRDefault="00AA7067">
            <w:pPr>
              <w:rPr>
                <w:sz w:val="20"/>
              </w:rPr>
            </w:pPr>
            <w:r>
              <w:rPr>
                <w:sz w:val="20"/>
              </w:rPr>
              <w:t xml:space="preserve">Introduce next unit. </w:t>
            </w:r>
          </w:p>
          <w:p w:rsidR="00AA7067" w:rsidRDefault="00AA7067">
            <w:pPr>
              <w:rPr>
                <w:sz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067" w:rsidRDefault="00AA7067">
            <w:pPr>
              <w:rPr>
                <w:sz w:val="20"/>
              </w:rPr>
            </w:pPr>
            <w:r>
              <w:rPr>
                <w:sz w:val="20"/>
              </w:rPr>
              <w:t>We will be starting our first unit for next time: Identity, Privilege, and Inequalities! Make sure to switch out your Intro unit for it next time!</w:t>
            </w:r>
          </w:p>
        </w:tc>
      </w:tr>
    </w:tbl>
    <w:p w:rsidR="00AA7067" w:rsidRDefault="00AA7067" w:rsidP="00AA7067">
      <w:pPr>
        <w:rPr>
          <w:sz w:val="40"/>
        </w:rPr>
      </w:pPr>
      <w:r>
        <w:rPr>
          <w:sz w:val="40"/>
        </w:rPr>
        <w:t>Humanities 1100 Outline of Daily Assignments</w:t>
      </w:r>
    </w:p>
    <w:p w:rsidR="00AA7067" w:rsidRDefault="00AA7067" w:rsidP="00AA7067">
      <w:pPr>
        <w:rPr>
          <w:sz w:val="32"/>
        </w:rPr>
      </w:pPr>
      <w:r>
        <w:rPr>
          <w:sz w:val="32"/>
        </w:rPr>
        <w:t>Introduction to Course Themes and the Class</w:t>
      </w:r>
    </w:p>
    <w:p w:rsidR="00AA7067" w:rsidRDefault="00AA7067" w:rsidP="00AA7067">
      <w:r>
        <w:t xml:space="preserve">Assignments are to be completed before you come to class on the dates indicated.  Make sure you check the assigned reading, and have read (past tense) the listed readings on the next class day. If it says “In-Class”, you do not need to read/watch it at home. </w:t>
      </w:r>
    </w:p>
    <w:p w:rsidR="00BC0CA1" w:rsidRDefault="00AA7067">
      <w:r>
        <w:rPr>
          <w:b/>
          <w:i/>
        </w:rPr>
        <w:t xml:space="preserve">Bring your textbook and journal to class every day. </w:t>
      </w:r>
    </w:p>
    <w:sectPr w:rsidR="00BC0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67"/>
    <w:rsid w:val="001601D2"/>
    <w:rsid w:val="001C58B0"/>
    <w:rsid w:val="00725DD0"/>
    <w:rsid w:val="00AA7067"/>
    <w:rsid w:val="00BC0CA1"/>
    <w:rsid w:val="00C7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67"/>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067"/>
    <w:pPr>
      <w:spacing w:after="0" w:line="240" w:lineRule="auto"/>
    </w:pPr>
    <w:rPr>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67"/>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067"/>
    <w:pPr>
      <w:spacing w:after="0" w:line="240" w:lineRule="auto"/>
    </w:pPr>
    <w:rPr>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9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Shields</dc:creator>
  <cp:lastModifiedBy>James Shields</cp:lastModifiedBy>
  <cp:revision>5</cp:revision>
  <dcterms:created xsi:type="dcterms:W3CDTF">2017-01-18T16:01:00Z</dcterms:created>
  <dcterms:modified xsi:type="dcterms:W3CDTF">2019-01-17T15:26:00Z</dcterms:modified>
</cp:coreProperties>
</file>